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EDA" w:rsidRPr="000C0EDA" w:rsidRDefault="000C0EDA" w:rsidP="000C0EDA">
      <w:pPr>
        <w:keepNext/>
        <w:keepLines/>
        <w:widowControl w:val="0"/>
        <w:snapToGrid w:val="0"/>
        <w:spacing w:before="240" w:after="0" w:line="240" w:lineRule="auto"/>
        <w:ind w:left="90" w:right="412"/>
        <w:outlineLvl w:val="0"/>
        <w:rPr>
          <w:rFonts w:ascii="Times New Roman" w:eastAsiaTheme="majorEastAsia" w:hAnsi="Times New Roman" w:cs="Times New Roman"/>
          <w:sz w:val="32"/>
          <w:szCs w:val="32"/>
          <w14:ligatures w14:val="standardContextual"/>
        </w:rPr>
      </w:pPr>
      <w:r w:rsidRPr="000C0EDA">
        <w:rPr>
          <w:rFonts w:ascii="Times New Roman" w:eastAsiaTheme="majorEastAsia" w:hAnsi="Times New Roman" w:cs="Times New Roman"/>
          <w:sz w:val="32"/>
          <w:szCs w:val="32"/>
          <w14:ligatures w14:val="standardContextual"/>
        </w:rPr>
        <w:t xml:space="preserve">SPECIAL APPROVALS </w:t>
      </w:r>
    </w:p>
    <w:p w:rsidR="000C0EDA" w:rsidRPr="000C0EDA" w:rsidRDefault="000C0EDA" w:rsidP="000C0EDA">
      <w:pPr>
        <w:widowControl w:val="0"/>
        <w:snapToGrid w:val="0"/>
        <w:spacing w:after="0"/>
        <w:rPr>
          <w:rFonts w:ascii="Times New Roman" w:eastAsia="Times New Roman" w:hAnsi="Times New Roman" w:cs="Times New Roman"/>
          <w:sz w:val="24"/>
          <w:szCs w:val="20"/>
          <w14:ligatures w14:val="standardContextual"/>
        </w:rPr>
      </w:pPr>
      <w:r w:rsidRPr="000C0EDA">
        <w:rPr>
          <w:rFonts w:ascii="Times New Roman" w:eastAsia="Times New Roman" w:hAnsi="Times New Roman" w:cs="Times New Roman"/>
          <w:sz w:val="24"/>
          <w:szCs w:val="20"/>
          <w14:ligatures w14:val="standardContextual"/>
        </w:rPr>
        <w:t xml:space="preserve"> </w:t>
      </w:r>
    </w:p>
    <w:p w:rsidR="000C0EDA" w:rsidRPr="000C0EDA" w:rsidRDefault="000C0EDA" w:rsidP="000C0EDA">
      <w:pPr>
        <w:widowControl w:val="0"/>
        <w:snapToGrid w:val="0"/>
        <w:spacing w:after="0" w:line="240" w:lineRule="auto"/>
        <w:ind w:left="-6" w:right="316"/>
        <w:rPr>
          <w:rFonts w:ascii="Times New Roman" w:eastAsia="Times New Roman" w:hAnsi="Times New Roman" w:cs="Times New Roman"/>
          <w:sz w:val="24"/>
          <w:szCs w:val="20"/>
          <w14:ligatures w14:val="standardContextual"/>
        </w:rPr>
      </w:pPr>
      <w:r w:rsidRPr="000C0EDA">
        <w:rPr>
          <w:rFonts w:ascii="Times New Roman" w:eastAsia="Times New Roman" w:hAnsi="Times New Roman" w:cs="Times New Roman"/>
          <w:sz w:val="24"/>
          <w:szCs w:val="20"/>
          <w:u w:val="single" w:color="000000"/>
          <w14:ligatures w14:val="standardContextual"/>
        </w:rPr>
        <w:t>IRB POLICY CONCERNING DRUGS FOR RESEARCH USE:</w:t>
      </w:r>
      <w:r w:rsidRPr="000C0EDA">
        <w:rPr>
          <w:rFonts w:ascii="Times New Roman" w:eastAsia="Times New Roman" w:hAnsi="Times New Roman" w:cs="Times New Roman"/>
          <w:sz w:val="24"/>
          <w:szCs w:val="20"/>
          <w14:ligatures w14:val="standardContextual"/>
        </w:rPr>
        <w:t xml:space="preserve">  The East Alabama Medical Center has established procedures for the storage and distribution of drugs to be used in research involving humans, whether these drugs are FDA approved or in an Investigational New Drug (IND) status.  These procedures require that the investigator obtain a release from the Pharmacy Department before IRB approval can be given to any research protocol.  </w:t>
      </w:r>
      <w:hyperlink r:id="rId4" w:history="1">
        <w:r w:rsidRPr="000C0EDA">
          <w:rPr>
            <w:rStyle w:val="Hyperlink"/>
            <w:rFonts w:ascii="Times New Roman" w:eastAsia="Times New Roman" w:hAnsi="Times New Roman" w:cs="Times New Roman"/>
            <w:sz w:val="24"/>
            <w:szCs w:val="20"/>
            <w14:ligatures w14:val="standardContextual"/>
          </w:rPr>
          <w:t>Click HERE</w:t>
        </w:r>
      </w:hyperlink>
      <w:r w:rsidRPr="000C0EDA">
        <w:rPr>
          <w:rFonts w:ascii="Times New Roman" w:eastAsia="Times New Roman" w:hAnsi="Times New Roman" w:cs="Times New Roman"/>
          <w:color w:val="4472C4" w:themeColor="accent1"/>
          <w:sz w:val="24"/>
          <w:szCs w:val="20"/>
          <w14:ligatures w14:val="standardContextual"/>
        </w:rPr>
        <w:t xml:space="preserve"> </w:t>
      </w:r>
      <w:r w:rsidRPr="000C0EDA">
        <w:rPr>
          <w:rFonts w:ascii="Times New Roman" w:eastAsia="Times New Roman" w:hAnsi="Times New Roman" w:cs="Times New Roman"/>
          <w:sz w:val="24"/>
          <w:szCs w:val="20"/>
          <w14:ligatures w14:val="standardContextual"/>
        </w:rPr>
        <w:t xml:space="preserve">for the Pharmacy Department policy statement and the release form.  The Pharmacy department may be reached at 334.528.2270 for further information. </w:t>
      </w:r>
    </w:p>
    <w:p w:rsidR="000C0EDA" w:rsidRPr="000C0EDA" w:rsidRDefault="000C0EDA" w:rsidP="000C0EDA">
      <w:pPr>
        <w:widowControl w:val="0"/>
        <w:snapToGrid w:val="0"/>
        <w:spacing w:after="0"/>
        <w:rPr>
          <w:rFonts w:ascii="Times New Roman" w:eastAsia="Times New Roman" w:hAnsi="Times New Roman" w:cs="Times New Roman"/>
          <w:sz w:val="24"/>
          <w:szCs w:val="20"/>
          <w14:ligatures w14:val="standardContextual"/>
        </w:rPr>
      </w:pPr>
      <w:r w:rsidRPr="000C0EDA">
        <w:rPr>
          <w:rFonts w:ascii="Times New Roman" w:eastAsia="Times New Roman" w:hAnsi="Times New Roman" w:cs="Times New Roman"/>
          <w:sz w:val="24"/>
          <w:szCs w:val="20"/>
          <w14:ligatures w14:val="standardContextual"/>
        </w:rPr>
        <w:t xml:space="preserve"> </w:t>
      </w:r>
    </w:p>
    <w:p w:rsidR="000C0EDA" w:rsidRPr="000C0EDA" w:rsidRDefault="000C0EDA" w:rsidP="000C0EDA">
      <w:pPr>
        <w:widowControl w:val="0"/>
        <w:snapToGrid w:val="0"/>
        <w:spacing w:after="0" w:line="240" w:lineRule="auto"/>
        <w:ind w:left="-6" w:right="316"/>
        <w:rPr>
          <w:rFonts w:ascii="Times New Roman" w:eastAsia="Times New Roman" w:hAnsi="Times New Roman" w:cs="Times New Roman"/>
          <w:sz w:val="24"/>
          <w:szCs w:val="20"/>
          <w14:ligatures w14:val="standardContextual"/>
        </w:rPr>
      </w:pPr>
      <w:r w:rsidRPr="000C0EDA">
        <w:rPr>
          <w:rFonts w:ascii="Times New Roman" w:eastAsia="Times New Roman" w:hAnsi="Times New Roman" w:cs="Times New Roman"/>
          <w:sz w:val="24"/>
          <w:szCs w:val="20"/>
          <w:u w:val="single" w:color="000000"/>
          <w14:ligatures w14:val="standardContextual"/>
        </w:rPr>
        <w:t>IRB POLICY CONCERNING RADIOISOTOPES FOR RESEARCH USE:</w:t>
      </w:r>
      <w:r w:rsidRPr="000C0EDA">
        <w:rPr>
          <w:rFonts w:ascii="Times New Roman" w:eastAsia="Times New Roman" w:hAnsi="Times New Roman" w:cs="Times New Roman"/>
          <w:sz w:val="24"/>
          <w:szCs w:val="20"/>
          <w14:ligatures w14:val="standardContextual"/>
        </w:rPr>
        <w:t xml:space="preserve">  If radioisotopes are to be used, approval from the Radiation Safety Committee and documentation of safety must be included in the protocol.  The Chairperson of the committee should be contacted for information and approval. </w:t>
      </w:r>
    </w:p>
    <w:p w:rsidR="000C0EDA" w:rsidRPr="000C0EDA" w:rsidRDefault="000C0EDA" w:rsidP="000C0EDA">
      <w:pPr>
        <w:widowControl w:val="0"/>
        <w:snapToGrid w:val="0"/>
        <w:spacing w:after="0"/>
        <w:rPr>
          <w:rFonts w:ascii="Times New Roman" w:eastAsia="Times New Roman" w:hAnsi="Times New Roman" w:cs="Times New Roman"/>
          <w:sz w:val="24"/>
          <w:szCs w:val="20"/>
          <w14:ligatures w14:val="standardContextual"/>
        </w:rPr>
      </w:pPr>
      <w:r w:rsidRPr="000C0EDA">
        <w:rPr>
          <w:rFonts w:ascii="Times New Roman" w:eastAsia="Times New Roman" w:hAnsi="Times New Roman" w:cs="Times New Roman"/>
          <w:sz w:val="24"/>
          <w:szCs w:val="20"/>
          <w14:ligatures w14:val="standardContextual"/>
        </w:rPr>
        <w:t xml:space="preserve"> </w:t>
      </w:r>
    </w:p>
    <w:p w:rsidR="000C0EDA" w:rsidRPr="000C0EDA" w:rsidRDefault="000C0EDA" w:rsidP="000C0EDA">
      <w:pPr>
        <w:widowControl w:val="0"/>
        <w:snapToGrid w:val="0"/>
        <w:spacing w:after="0" w:line="240" w:lineRule="auto"/>
        <w:ind w:left="-6" w:right="316"/>
        <w:rPr>
          <w:rFonts w:ascii="Times New Roman" w:eastAsia="Times New Roman" w:hAnsi="Times New Roman" w:cs="Times New Roman"/>
          <w:sz w:val="24"/>
          <w:szCs w:val="20"/>
          <w14:ligatures w14:val="standardContextual"/>
        </w:rPr>
      </w:pPr>
      <w:r w:rsidRPr="000C0EDA">
        <w:rPr>
          <w:rFonts w:ascii="Times New Roman" w:eastAsia="Times New Roman" w:hAnsi="Times New Roman" w:cs="Times New Roman"/>
          <w:sz w:val="24"/>
          <w:szCs w:val="20"/>
          <w:u w:val="single" w:color="000000"/>
          <w14:ligatures w14:val="standardContextual"/>
        </w:rPr>
        <w:t>BIOPSY OR AUTOPSY MATERIALS:</w:t>
      </w:r>
      <w:r w:rsidRPr="000C0EDA">
        <w:rPr>
          <w:rFonts w:ascii="Times New Roman" w:eastAsia="Times New Roman" w:hAnsi="Times New Roman" w:cs="Times New Roman"/>
          <w:sz w:val="24"/>
          <w:szCs w:val="20"/>
          <w14:ligatures w14:val="standardContextual"/>
        </w:rPr>
        <w:t xml:space="preserve">  Use of these materials must be cleared with the Department of Pathology.  The Chairperson should be contacted for written approval.  </w:t>
      </w:r>
      <w:hyperlink r:id="rId5" w:history="1">
        <w:r w:rsidRPr="000C0EDA">
          <w:rPr>
            <w:rStyle w:val="Hyperlink"/>
            <w:rFonts w:ascii="Times New Roman" w:eastAsia="Times New Roman" w:hAnsi="Times New Roman" w:cs="Times New Roman"/>
            <w:sz w:val="24"/>
            <w:szCs w:val="20"/>
            <w14:ligatures w14:val="standardContextual"/>
          </w:rPr>
          <w:t>Click HERE</w:t>
        </w:r>
      </w:hyperlink>
      <w:bookmarkStart w:id="0" w:name="_GoBack"/>
      <w:bookmarkEnd w:id="0"/>
      <w:r w:rsidRPr="000C0EDA">
        <w:rPr>
          <w:rFonts w:ascii="Times New Roman" w:eastAsia="Times New Roman" w:hAnsi="Times New Roman" w:cs="Times New Roman"/>
          <w:color w:val="4472C4" w:themeColor="accent1"/>
          <w:sz w:val="24"/>
          <w:szCs w:val="20"/>
          <w14:ligatures w14:val="standardContextual"/>
        </w:rPr>
        <w:t xml:space="preserve"> </w:t>
      </w:r>
      <w:r w:rsidRPr="000C0EDA">
        <w:rPr>
          <w:rFonts w:ascii="Times New Roman" w:eastAsia="Times New Roman" w:hAnsi="Times New Roman" w:cs="Times New Roman"/>
          <w:sz w:val="24"/>
          <w:szCs w:val="20"/>
          <w14:ligatures w14:val="standardContextual"/>
        </w:rPr>
        <w:t xml:space="preserve">an example of the appropriate form for such approval. </w:t>
      </w:r>
    </w:p>
    <w:p w:rsidR="000C0EDA" w:rsidRPr="000C0EDA" w:rsidRDefault="000C0EDA" w:rsidP="000C0EDA">
      <w:pPr>
        <w:widowControl w:val="0"/>
        <w:snapToGrid w:val="0"/>
        <w:spacing w:after="0"/>
        <w:rPr>
          <w:rFonts w:ascii="Times New Roman" w:eastAsia="Times New Roman" w:hAnsi="Times New Roman" w:cs="Times New Roman"/>
          <w:sz w:val="24"/>
          <w:szCs w:val="20"/>
          <w14:ligatures w14:val="standardContextual"/>
        </w:rPr>
      </w:pPr>
      <w:r w:rsidRPr="000C0EDA">
        <w:rPr>
          <w:rFonts w:ascii="Times New Roman" w:eastAsia="Times New Roman" w:hAnsi="Times New Roman" w:cs="Times New Roman"/>
          <w:sz w:val="24"/>
          <w:szCs w:val="20"/>
          <w14:ligatures w14:val="standardContextual"/>
        </w:rPr>
        <w:t xml:space="preserve"> </w:t>
      </w:r>
    </w:p>
    <w:p w:rsidR="000C0EDA" w:rsidRPr="000C0EDA" w:rsidRDefault="000C0EDA" w:rsidP="000C0EDA">
      <w:pPr>
        <w:widowControl w:val="0"/>
        <w:snapToGrid w:val="0"/>
        <w:spacing w:after="0" w:line="240" w:lineRule="auto"/>
        <w:ind w:left="-6" w:right="316"/>
        <w:rPr>
          <w:rFonts w:ascii="Times New Roman" w:eastAsia="Times New Roman" w:hAnsi="Times New Roman" w:cs="Times New Roman"/>
          <w:sz w:val="24"/>
          <w:szCs w:val="20"/>
          <w14:ligatures w14:val="standardContextual"/>
        </w:rPr>
      </w:pPr>
      <w:r w:rsidRPr="000C0EDA">
        <w:rPr>
          <w:rFonts w:ascii="Times New Roman" w:eastAsia="Times New Roman" w:hAnsi="Times New Roman" w:cs="Times New Roman"/>
          <w:sz w:val="24"/>
          <w:szCs w:val="20"/>
          <w:u w:val="single" w:color="000000"/>
          <w14:ligatures w14:val="standardContextual"/>
        </w:rPr>
        <w:t>OTHER INSTITUTIONS:</w:t>
      </w:r>
      <w:r w:rsidRPr="000C0EDA">
        <w:rPr>
          <w:rFonts w:ascii="Times New Roman" w:eastAsia="Times New Roman" w:hAnsi="Times New Roman" w:cs="Times New Roman"/>
          <w:sz w:val="24"/>
          <w:szCs w:val="20"/>
          <w14:ligatures w14:val="standardContextual"/>
        </w:rPr>
        <w:t xml:space="preserve">  Should subjects from other institutions not having an institutional review board (hospitals, schools, businesses) comprise all or part of the population for the study, written approval should be obtained from an authorized official of that institution.  A statement of preliminary contacts with the appropriate officials should be attached to materials submitted for review.  If the other institutions </w:t>
      </w:r>
      <w:proofErr w:type="gramStart"/>
      <w:r w:rsidRPr="000C0EDA">
        <w:rPr>
          <w:rFonts w:ascii="Times New Roman" w:eastAsia="Times New Roman" w:hAnsi="Times New Roman" w:cs="Times New Roman"/>
          <w:sz w:val="24"/>
          <w:szCs w:val="20"/>
          <w14:ligatures w14:val="standardContextual"/>
        </w:rPr>
        <w:t>has</w:t>
      </w:r>
      <w:proofErr w:type="gramEnd"/>
      <w:r w:rsidRPr="000C0EDA">
        <w:rPr>
          <w:rFonts w:ascii="Times New Roman" w:eastAsia="Times New Roman" w:hAnsi="Times New Roman" w:cs="Times New Roman"/>
          <w:sz w:val="24"/>
          <w:szCs w:val="20"/>
          <w14:ligatures w14:val="standardContextual"/>
        </w:rPr>
        <w:t xml:space="preserve"> an Institutional Review Board, attach a copy of its approval for the activities to be carried out at that institution. </w:t>
      </w:r>
    </w:p>
    <w:p w:rsidR="000C0EDA" w:rsidRPr="000C0EDA" w:rsidRDefault="000C0EDA" w:rsidP="000C0EDA">
      <w:pPr>
        <w:widowControl w:val="0"/>
        <w:snapToGrid w:val="0"/>
        <w:spacing w:after="0"/>
        <w:rPr>
          <w:rFonts w:ascii="Times New Roman" w:eastAsia="Times New Roman" w:hAnsi="Times New Roman" w:cs="Times New Roman"/>
          <w:sz w:val="24"/>
          <w:szCs w:val="20"/>
          <w14:ligatures w14:val="standardContextual"/>
        </w:rPr>
      </w:pPr>
      <w:r w:rsidRPr="000C0EDA">
        <w:rPr>
          <w:rFonts w:ascii="Times New Roman" w:eastAsia="Times New Roman" w:hAnsi="Times New Roman" w:cs="Times New Roman"/>
          <w:sz w:val="24"/>
          <w:szCs w:val="20"/>
          <w14:ligatures w14:val="standardContextual"/>
        </w:rPr>
        <w:t xml:space="preserve"> </w:t>
      </w:r>
    </w:p>
    <w:p w:rsidR="002242AB" w:rsidRDefault="000C0EDA" w:rsidP="000C0EDA">
      <w:r w:rsidRPr="000C0EDA">
        <w:rPr>
          <w:rFonts w:ascii="Times New Roman" w:eastAsia="Times New Roman" w:hAnsi="Times New Roman" w:cs="Times New Roman"/>
          <w:sz w:val="24"/>
          <w:szCs w:val="20"/>
          <w:u w:val="single" w:color="000000"/>
          <w14:ligatures w14:val="standardContextual"/>
        </w:rPr>
        <w:t>COOPERATIVE RESEARCH IRB</w:t>
      </w:r>
      <w:r w:rsidRPr="000C0EDA">
        <w:rPr>
          <w:rFonts w:ascii="Times New Roman" w:eastAsia="Times New Roman" w:hAnsi="Times New Roman" w:cs="Times New Roman"/>
          <w:sz w:val="24"/>
          <w:szCs w:val="20"/>
          <w14:ligatures w14:val="standardContextual"/>
        </w:rPr>
        <w:t>: Should the research be part of a cooperative research clinical trial that must undergo a single IRB review, herein called the Cooperative Research IRB, all information regarding that review must be submitted with any application for research, whether in the Exempt, Expedited, or Full Board Review category.</w:t>
      </w:r>
    </w:p>
    <w:sectPr w:rsidR="00224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DA"/>
    <w:rsid w:val="000C0EDA"/>
    <w:rsid w:val="002242AB"/>
    <w:rsid w:val="0043036C"/>
    <w:rsid w:val="007E4A85"/>
    <w:rsid w:val="00CD23F0"/>
    <w:rsid w:val="00D76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20A49-74B2-4262-8CD8-03F7E4D7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36C"/>
    <w:rPr>
      <w:color w:val="0563C1" w:themeColor="hyperlink"/>
      <w:u w:val="single"/>
    </w:rPr>
  </w:style>
  <w:style w:type="character" w:styleId="UnresolvedMention">
    <w:name w:val="Unresolved Mention"/>
    <w:basedOn w:val="DefaultParagraphFont"/>
    <w:uiPriority w:val="99"/>
    <w:semiHidden/>
    <w:unhideWhenUsed/>
    <w:rsid w:val="00430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stalabamahealth.org/research/_assets/documents/irb/release-of-biopsy-or-autopsy-materials.pdf" TargetMode="External"/><Relationship Id="rId4" Type="http://schemas.openxmlformats.org/officeDocument/2006/relationships/hyperlink" Target="https://www.eastalabamahealth.org/research/_assets/documents/irb/irb-drug-release-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Baker</dc:creator>
  <cp:keywords/>
  <dc:description/>
  <cp:lastModifiedBy>Christian Baker</cp:lastModifiedBy>
  <cp:revision>1</cp:revision>
  <dcterms:created xsi:type="dcterms:W3CDTF">2024-02-21T19:41:00Z</dcterms:created>
  <dcterms:modified xsi:type="dcterms:W3CDTF">2024-02-21T20:49:00Z</dcterms:modified>
</cp:coreProperties>
</file>